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0FB" w:rsidRPr="000650FB" w:rsidRDefault="000650FB" w:rsidP="000650FB">
      <w:pPr>
        <w:shd w:val="clear" w:color="auto" w:fill="FBFBFB"/>
        <w:spacing w:line="240" w:lineRule="auto"/>
        <w:jc w:val="right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  <w:bookmarkStart w:id="0" w:name="_GoBack"/>
      <w:bookmarkEnd w:id="0"/>
      <w:r w:rsidRPr="000650FB"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  <w:t>   </w:t>
      </w:r>
    </w:p>
    <w:p w:rsidR="000650FB" w:rsidRPr="000650FB" w:rsidRDefault="000650FB" w:rsidP="000650FB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  <w:r w:rsidRPr="000650FB">
        <w:rPr>
          <w:rFonts w:ascii="PFDinDisplayPro-Regular" w:eastAsia="Times New Roman" w:hAnsi="PFDinDisplayPro-Regular" w:cs="Times New Roman"/>
          <w:noProof/>
          <w:color w:val="333333"/>
          <w:sz w:val="20"/>
          <w:szCs w:val="20"/>
          <w:bdr w:val="none" w:sz="0" w:space="0" w:color="auto" w:frame="1"/>
          <w:lang w:eastAsia="ru-RU"/>
        </w:rPr>
        <w:drawing>
          <wp:inline distT="0" distB="0" distL="0" distR="0">
            <wp:extent cx="2381250" cy="542925"/>
            <wp:effectExtent l="0" t="0" r="0" b="9525"/>
            <wp:docPr id="5" name="Рисунок 5" descr="http://www.gudok.ru.images.1c-bitrix-cdn.ru/bitrix/templates/gd_new/images/gudoklogoorden.gif?1456905764519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udok.ru.images.1c-bitrix-cdn.ru/bitrix/templates/gd_new/images/gudoklogoorden.gif?14569057645196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0FB" w:rsidRPr="000650FB" w:rsidRDefault="000650FB" w:rsidP="000650F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650F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0650FB" w:rsidRPr="000650FB" w:rsidRDefault="000650FB" w:rsidP="000650F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0650FB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0650FB" w:rsidRPr="000650FB" w:rsidRDefault="000650FB" w:rsidP="000650FB">
      <w:pPr>
        <w:shd w:val="clear" w:color="auto" w:fill="FFFFFF"/>
        <w:spacing w:after="0" w:line="273" w:lineRule="atLeast"/>
        <w:jc w:val="right"/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</w:pPr>
    </w:p>
    <w:p w:rsidR="000650FB" w:rsidRDefault="00E57F49" w:rsidP="000650FB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u w:val="single"/>
          <w:bdr w:val="none" w:sz="0" w:space="0" w:color="auto" w:frame="1"/>
          <w:lang w:eastAsia="ru-RU"/>
        </w:rPr>
      </w:pPr>
      <w:hyperlink r:id="rId6" w:history="1">
        <w:r w:rsidR="000650FB" w:rsidRPr="000650FB">
          <w:rPr>
            <w:rFonts w:ascii="inherit" w:eastAsia="Times New Roman" w:hAnsi="inherit" w:cs="Times New Roman"/>
            <w:color w:val="333333"/>
            <w:sz w:val="39"/>
            <w:szCs w:val="39"/>
            <w:u w:val="single"/>
            <w:bdr w:val="none" w:sz="0" w:space="0" w:color="auto" w:frame="1"/>
            <w:lang w:eastAsia="ru-RU"/>
          </w:rPr>
          <w:t>Выпуск № 201 (26574) 09.11.2018</w:t>
        </w:r>
      </w:hyperlink>
    </w:p>
    <w:p w:rsidR="00882C55" w:rsidRDefault="00882C55" w:rsidP="000650FB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u w:val="single"/>
          <w:bdr w:val="none" w:sz="0" w:space="0" w:color="auto" w:frame="1"/>
          <w:lang w:eastAsia="ru-RU"/>
        </w:rPr>
      </w:pPr>
    </w:p>
    <w:p w:rsidR="00A441B5" w:rsidRDefault="00A441B5" w:rsidP="00A441B5">
      <w:pPr>
        <w:pStyle w:val="1"/>
        <w:shd w:val="clear" w:color="auto" w:fill="FFFFFF"/>
        <w:spacing w:before="180" w:beforeAutospacing="0" w:after="90" w:afterAutospacing="0" w:line="594" w:lineRule="atLeast"/>
        <w:rPr>
          <w:rFonts w:ascii="inherit" w:hAnsi="inherit"/>
          <w:b w:val="0"/>
          <w:bCs w:val="0"/>
          <w:color w:val="333333"/>
          <w:sz w:val="54"/>
          <w:szCs w:val="54"/>
        </w:rPr>
      </w:pPr>
      <w:r>
        <w:rPr>
          <w:rFonts w:ascii="inherit" w:hAnsi="inherit"/>
          <w:b w:val="0"/>
          <w:bCs w:val="0"/>
          <w:color w:val="333333"/>
          <w:sz w:val="54"/>
          <w:szCs w:val="54"/>
        </w:rPr>
        <w:t>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:rsidR="00A441B5" w:rsidRDefault="00A441B5" w:rsidP="00A441B5">
      <w:pPr>
        <w:shd w:val="clear" w:color="auto" w:fill="FFFFFF"/>
        <w:spacing w:line="273" w:lineRule="atLeast"/>
        <w:rPr>
          <w:rFonts w:ascii="PFDinDisplayPro-Regular" w:hAnsi="PFDinDisplayPro-Regular"/>
          <w:b/>
          <w:bCs/>
          <w:color w:val="333333"/>
          <w:sz w:val="21"/>
          <w:szCs w:val="21"/>
        </w:rPr>
      </w:pPr>
      <w:r>
        <w:rPr>
          <w:rFonts w:ascii="PFDinDisplayPro-Regular" w:hAnsi="PFDinDisplayPro-Regular"/>
          <w:b/>
          <w:bCs/>
          <w:color w:val="333333"/>
          <w:sz w:val="21"/>
          <w:szCs w:val="21"/>
        </w:rPr>
        <w:t>Выписка из протокола заседания правления ОАО «РЖД» № 51 от 6 ноября 2018 г.</w:t>
      </w:r>
    </w:p>
    <w:p w:rsidR="00A441B5" w:rsidRDefault="00A441B5" w:rsidP="00A441B5">
      <w:pPr>
        <w:shd w:val="clear" w:color="auto" w:fill="FFFFFF"/>
        <w:spacing w:line="273" w:lineRule="atLeast"/>
        <w:rPr>
          <w:rFonts w:ascii="PFDinDisplayPro-Regular" w:hAnsi="PFDinDisplayPro-Regular"/>
          <w:color w:val="333333"/>
          <w:sz w:val="21"/>
          <w:szCs w:val="21"/>
        </w:rPr>
      </w:pP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груженых крупнотоннажных универсальных контейнеров, следующих в составе контейнерных поездов, на специализированных платформах, предназначенных для перевозки контейнеров, а также на контрейлерные перевозки грузов в автопоездах, прицепах, полуприцепах и съемных автомобильных кузовах, следующих в составе контейнерных поездов, на специализированных платформах, по направлениям: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на перевозки со станций Дальневосточной железной дороги: Артем-Приморский I, Ванино, Владивосток, Владивосток (перев.), Владивосток (эксп.), Гайдамак, Гайдамак (эксп.), Красная Речка, Мыс-Чуркин, Мыс-Чуркин (перев.), Мыс-Чуркин (эксп.), Находка, Находка (эксп.), Находка-Восточная, Находка-Восточная (перев.), Находка-Восточная (эксп.), Первая Речка, Рыбники, Рыбники (эксп.), Советская Гавань-Город, Советская Гавань-Сортировочная, Угловая, Угловая (перев.), Угловая (эксп.), Угольная, Угольная (эксп.), Уссурийск, Хабаровск II назначением на станции российских железных дорог – понижающий коэффициент 0,94;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на импортные перевозки через сухопутные погранпереходы Забайкальск (эксп.) Забайкальской железной дороги и Наушки (эксп.) Восточно-Сибирской железной дороги – понижающий коэффициент 0,872;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на экспортные перевозки через сухопутные погранпереходы Забайкальск (эксп.) Забайкальской железной дороги и Наушки (эксп.) Восточно-Сибирской железной дороги – понижающий коэффициент 0,928;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на внутрироссийские перевозки до 2000 км включительно (за исключением перевозок со станций Дальневосточной железной дороги: Артем-Приморский I, Ванино, Владивосток, Владивосток (перев.), Владивосток (эксп.), Гайдамак, Гайдамак (эксп.), Красная Речка, Мыс-Чуркин, Мыс-Чуркин (перев.), Мыс-Чуркин (эксп.), Находка, Находка (эксп.), Находка-Восточная, Находка-Восточная (перев.), Находка-Восточная (эксп.), Первая Речка, Рыбники, Рыбники (эксп.), Советская Гавань-Город, Советская Гавань-Сортировочная, Угловая, Угловая (перев.), Угловая (эксп.), Угольная, Угольная (эксп.), Уссурийск, Хабаровск II) – понижающий коэффициент 0,937.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понижающих коэффициентов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перевозки 40-футовых контейнеров, следующих в составе контейнерных поездов железнодорожным транспортом со/на станций российских железных дорог через припортовые станции порта Усть-Луга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0,94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груженых и порожних 40-футовых универсальных контейнеров, следующих в составе контейнерных поездов со/на станций российских железных дорог через припортовые станции порта Усть-Луга на дальность перевозки, не превышающую 1100 км.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понижающего коэффициента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или порожнего контейнера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III.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внутрироссийские и импортные перевозки легковых автомобилей (код ЕТСНГ 381087) со станций Гайдамак и Гайдамак (эксп.) Дальневосточной железной дороги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398-т/3, со всеми изменениями и дополнениями, утвержденными в установленном порядке, понижающий коэффициент 0,88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легковых автомобилей (код ЕТСНГ 381087) со станций Гайдамак и Гайдамак (эксп.) Дальневосточной железной дороги во внутрироссийском и импортном сообщении в собственных (арендованных) специализированных вагонах.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выполнения в 2019 г. объема перевозок легковых автомобилей (код ЕТСНГ 381087) со станций Гайдамак и Гайдамак (эксп.) Дальневосточной железной дороги во внутрироссийском и импортном сообщении в собственных (арендованных) специализированных вагонах в размере не менее 3300 вагонов.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Дополнительно к тарифам на указанные перевозки на объем перевозок, превышающий 3300 вагонов, установить понижающий коэффициент 0,569.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Период действия понижающих коэффициентов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Выполнение указанных условий должно быть закреплено договорными обязательствами с ОАО «РЖД».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6.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IV.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перевозки легковых автомобилей (код ЕТСНГ 381087) в поясе дальности 1001–4000 км, а также на возврат порожних вагонов из-под указанных перевозок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перевозки легковых автомобилей (код ЕТСНГ 381087) в собственных (арендованных) специализированных вагонах во внутрироссийском и экспортном сообщении со станций Акулово, Голицыно, Белые Столбы, Кунцево II, Лобня, Михнево, Москва-Товарная-Павелецкая, Чехов Московской железной дороги; Белоостров, Заневский Пост, Лигово, Шушары, Красное Село, Купчинская, Колпино, Бронка, Новый Порт Октябрьской железной дороги; Вожой, Нижний Новгород-Автозавод, Ижевск, Доскино, Костариха Горьковской железной дороги; Гирей, Несветай Северо-Кавказской железной дороги; Тольятти, Ульяновск-3, Круглое Поле, Тихоново Куйбышевской железной дороги, а также на порожний пробег собственных (арендованных) специализированных вагонов, следующих непосредственно из-под перевозок легковых автомобилей на указанные станции (за исключением случаев, указанных в подпункте 2.16.2 пункта 2.16 раздела 2 части I Прейскуранта № 10-01) согласно приложению № 1 к настоящему протоколу.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понижающих коэффициентов –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или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V.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порожний пробег специализированных платформ для перевозки трубной продукции моделей 13-1796-01, 13-1796-03, 13-2118-03, 13-1163, 13-1163-01, 13-4108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0,52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порожний пробег специализированных платформ моделей 13-1796-01, 13-1796-03, 13-2118-03, 13-1163, 13-1163-01, 13-4108 из-под перевозок труб из черных металлов (позиция ЕТСНГ ранее перевозимого груза – 323).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обеспечения в 2019 году гарантированного объема перевозок труб из черных металлов (позиция ЕТСНГ 323) во внутрироссийском и экспортном сообщении на платформах обозначенных моделей в размере не менее 850 тыс. тонн.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понижающих коэффициентов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Выполнение указанных условий должно быть закреплено договорными обязательствами с ОАО «РЖД».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VI.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импортные перевозки плодоовощной продукции (позиции ЕТСНГ 040-043, 050-054) из республик Узбекистан и Таджикистан в Российскую Федерацию в рефрижераторном подвижном составе принадлежности АО «Узбекистон темир йуллари» и ГУП «Рохи охани Точикистон»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импортные перевозки плодовоовощной продукции (ЕТСНГ 040-043, 050-054) в прямом железнодорожном сообщении из республик Узбекистан и Таджикистан в Российскую Федерацию в рефрижераторном подвижном составе принадлежности АО «Узбекистон темир йуллари» и ГУП «Рохи охани Точикистон».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освобождения ОАО «РЖД» от платы за пользование рефрижераторным подвижным составом принадлежности данных государств, задействованном в перевозках.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понижающего коэффициента –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VII.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перевозки грузов в/из Республики Армения и в/из Грузии с участием паромной линии Кавказ (Россия) – Поти, Батуми (Грузия) – Кавказ (Россия)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железнодорожные перевозки грузов в вагонах в экспортно-импортном сообщении в/из Республики Армения и в/из Грузии с участием паромных линий Кавказ (Россия) – Поти (Грузия) – Кавказ (Россия), Кавказ (Россия) – Батуми (Грузия) – Кавказ (Россия); на транзитные перевозки, осуществляемые между странами ЕАЭС с участием паромных линий Кавказ (Россия) – Поти (Грузия) – Кавказ (Россия), Кавказ (Россия) – Батуми (Грузия) – Кавказ (Россия); на транзитные перевозки через российские порты в страны ЕАЭС с участием паромных линий Кавказ (Россия) – Поти (Грузия), Кавказ (Россия) – Батуми (Грузия) и в обратном направлении; на транзитные перевозки из третьих стран через паромные линии Поти (Грузия) – Кавказ (Россия), Батуми (Грузия) – Кавказ (Россия) в страны ЕАЭС следующие коэффициенты: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0,872 на поясах дальности свыше 3000 км для грузов первого тарифного класса;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0,750 на поясах дальности до 3000 км при перевозках грузов первого тарифного класса;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0,500 на всех поясах дальности при перевозках грузов второго и третьего тарифных классов.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Если в отношении перевозок, указанных в пункте 2 настоящего раздела, применяются несколько решений об установлении (изменении) уровня тарифов в рамках ценовых пределов, общее изменение уровня тарифов для таких перевозок не должно выходить за рамки максимального или минимального уровня ценовых пределов.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Период действия понижающих коэффициентов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Указанные в пункте 2 настоящего раздела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VIII.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внутрироссийские перевозки бутадиена ингибированного (код ЕТСНГ 488123) со станции Тобольск Свердловской железной дороги на станции Придача Юго-Восточной железной дороги и Базаиха Красноярской железной дороги, а также на возврат порожних вагонов из-под указанных перевозок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 понижающий коэффициент 0,7, на внутрироссийские перевозки бутадиена ингибированного (код ЕТСНГ 488123) в собственных (арендованных) цистернах для газов энергетических (углеводородных сжиженных) со станции Тобольск Свердловской железной дороги на станции Придача Юго-Восточной железной дороги и Базаиха Красноярской железной дороги, а также порожнего пробега собственных (арендованных) цистерн для газов энергетических (углеводородных сжиженных) из-под выгрузки указанного груза со станций Придача Юго-Восточной железной дороги и Базаиха Красноярской железной дороги на станцию Тобольск Свердловской железной дороги.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осуществления перевозок бутадиена ингибированного (код ЕТСНГ 488123) со станции Тобольск Свердловской железной дороги на станции Придача Юго-Восточной железной дороги и Базаиха Красноярской железной дороги в 2019 г. в собственных (арендованных) цистернах для газов энергетических (углеводородных сжиженных) в объеме не ниже уровня 2016 г. (189,1 тыс. тонн).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понижающего коэффициента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Выполнение гарантированного объема перевозок должно быть закреплено договорными обязательствами с ОАО «РЖД».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или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X.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внутрироссийские и экспортные перевозки нефтепродуктов (позиции ЕТСНГ 211-215, 221-225, коды ЕТСНГ 226021, 226069, 226106) в цистернах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понижающие коэффициенты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на перевозки нефтепродуктов (позиции ЕТСНГ 211-215, 221-225, коды ЕТСНГ 226021, 226069, 226106) в собственных (арендованных) цистернах со станций российских железных дорог согласно приложению № 2 к настоящему протоколу;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понижающий коэффициент 0,95 к тарифам на порожний пробег цистерн, следующих непосредственно из-под перевозок нефтепродуктов (позиции ЕТСНГ 211-215, 221-225, коды ЕТСНГ 226021, 226069, 226106), за исключением порожнего пробега собственных (арендованных) цистерн из-под перевозок газового конденсата в направлении станции Лимбей Свердловской железной дороги.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понижающих коэффициентов с 1 января 2019 г. по 31 декабря 2019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или порожнего собственного (арендованного) вагона как в пути следования, так и на первоначальной станции назначения, а также при пробеге порожних собственных (арендованных) вагонов после порожнего пробега.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XI.</w:t>
      </w:r>
      <w:r>
        <w:rPr>
          <w:rFonts w:ascii="PFDinDisplayPro-Regular" w:hAnsi="PFDinDisplayPro-Regular"/>
          <w:color w:val="333333"/>
          <w:sz w:val="21"/>
          <w:szCs w:val="21"/>
        </w:rPr>
        <w:t> О внесении изменений в решение правления ОАО «РЖД» от 21 декабря 2016 г. (протокол № 47)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Внести изменения в пункт 2 протокола заседания правления ОАО «РЖД» от 21 декабря 2016 г. № 47, заменив слова «31 декабря 2017 г.» словами «31 декабря 2019 г.».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XII.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внутрироссийские и экспортные перевозки газового конденсата (позиция ЕТСНГ 226106) при проследовании через станцию Сывдарма (стр.) Свердловской железной дороги со станций АО «ЯЖДК»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0,5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экспортные перевозки газового конденсата (позиция ЕТСНГ 226106) в собственных (арендованных) цистернах при проследовании через станцию Сывдарма (стр.) Свердловской железной дороги со станций АО «ЯЖДК».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понижающего коэффициента с 1 января 2019 г. по 31 декабря 2023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XIII.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внутрироссийские и экспортные перевозки нефтепродуктов (позиции ЕТСНГ 211-215, 221-225) со станции Ветласян Северной железной дороги и внутрироссийские перевозки нефти сырой (код ЕТСНГ 201005) со станции Сергино Свердловской железной дороги на станцию Татьянка Приволжской железной дороги и со станций Каджером, Усинск, Кожва I Северной железной дороги на станцию Ветласян Северной железной дороги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порядке: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понижающий коэффициент 0,822 на перевозки нефтепродуктов (позиции ЕТСНГ 211-215, 221-225) в собственных (арендованных) цистернах со станции Ветласян Северной железной дороги.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выполнения в 2019–2020 гг. гарантированного объема перевозок со станции Татьянка Приволжской железной дороги нефтепродуктов (позиции ЕТСНГ 211-215, 221-225), газов энергетических (углеводородных сжиженных) (позиция ЕТСНГ 226) и кокса электродного (код ЕТСНГ 171079) в размере не менее 7,5 млн тонн в год;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понижающий коэффициент 0,550 на перевозки нефти сырой (код ЕТСНГ 201005) в собственных (арендованных) цистернах со станции Сергино Свердловской железной дороги до станции Татьянка Приволжской железной дороги и со станций Каджером, Усинск, Кожва I Северной железной дороги до станции Ветласян Северной железной дороги.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понижающих коэффициентов с 1 января 2019 г. по 31 декабря 2020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Выполнение гарантированного объема перевозок должно быть закреплено договорными обязательствами с ОАО «РЖД».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b/>
          <w:bCs/>
          <w:color w:val="333333"/>
          <w:sz w:val="21"/>
          <w:szCs w:val="21"/>
          <w:bdr w:val="none" w:sz="0" w:space="0" w:color="auto" w:frame="1"/>
        </w:rPr>
        <w:t>XIV.</w:t>
      </w:r>
      <w:r>
        <w:rPr>
          <w:rFonts w:ascii="PFDinDisplayPro-Regular" w:hAnsi="PFDinDisplayPro-Regular"/>
          <w:color w:val="333333"/>
          <w:sz w:val="21"/>
          <w:szCs w:val="21"/>
        </w:rPr>
        <w:t> Об изменении уровня железнодорожных тарифов на экспортные перевозки дизельного топлива (позиция ЕТСНГ 214) со станций Осенцы Свердловской железной дороги и Кама Горьковской железной дороги до станции Высоцк (эксп.) Октябрьской железной дороги в рамках ценовых пределов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2.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понижающий коэффициент 0,9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экспортные перевозки дизельного топлива (позиция ЕТСНГ 214) в собственных (арендованных) цистернах со станций Осенцы Свердловской железной дороги и Кама Горьковской железной дороги на станцию Высоцк (эксп.) Октябрьской железной дороги. </w:t>
      </w:r>
      <w:r>
        <w:rPr>
          <w:rFonts w:ascii="PFDinDisplayPro-Regular" w:hAnsi="PFDinDisplayPro-Regular"/>
          <w:color w:val="333333"/>
          <w:sz w:val="21"/>
          <w:szCs w:val="21"/>
        </w:rPr>
        <w:br/>
        <w:t>Указанный понижающий коэффициент действует при условии выполнения в 2019–2025 гг. объема перевозок дизельного топлива (позиция ЕТСНГ 214) в собственных (арендованных) цистернах со станций Осенцы Свердловской железной дороги и Кама Горьковской железной дороги в размере не менее 2,8 млн тонн в год, в том числе объема экспортных перевозок дизельного топлива (позиция ЕТСНГ 214) в собственных (арендованных)цистернах со станций Осенцы Свердловской железной дороги и Кама Горьковской железной дороги назначением на станцию Высоцк (эксп.) Октябрьской железной дороги в размере не менее 1,1 млн тонн в год.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3. Период действия понижающего коэффициента с 1 января 2019 г. по 31 декабря 2025 г. включительно.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4. Выполнение указанных условий должно быть закреплено договорными обязательствами с ОАО «РЖД».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  <w:t>5. Указанный коэффициент не применяется на первоначальном и на последующих участках перевозки в случае изменения первоначальной железнодорожной станции назначения (переадресовки) груза как в пути следования, так и на первоначальной станции назначения. </w:t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color w:val="333333"/>
          <w:sz w:val="21"/>
          <w:szCs w:val="21"/>
        </w:rPr>
        <w:br/>
      </w:r>
      <w:r>
        <w:rPr>
          <w:rFonts w:ascii="PFDinDisplayPro-Regular" w:hAnsi="PFDinDisplayPro-Regular"/>
          <w:i/>
          <w:iCs/>
          <w:color w:val="333333"/>
          <w:sz w:val="21"/>
          <w:szCs w:val="21"/>
          <w:bdr w:val="none" w:sz="0" w:space="0" w:color="auto" w:frame="1"/>
        </w:rPr>
        <w:t>Окончание см. на 7-й полосе</w:t>
      </w:r>
    </w:p>
    <w:p w:rsidR="00882C55" w:rsidRPr="000650FB" w:rsidRDefault="00882C55" w:rsidP="000650FB">
      <w:pPr>
        <w:shd w:val="clear" w:color="auto" w:fill="FFFFFF"/>
        <w:spacing w:after="0" w:line="390" w:lineRule="atLeast"/>
        <w:outlineLvl w:val="1"/>
        <w:rPr>
          <w:rFonts w:ascii="inherit" w:eastAsia="Times New Roman" w:hAnsi="inherit" w:cs="Times New Roman"/>
          <w:color w:val="333333"/>
          <w:sz w:val="39"/>
          <w:szCs w:val="39"/>
          <w:lang w:eastAsia="ru-RU"/>
        </w:rPr>
      </w:pPr>
    </w:p>
    <w:p w:rsidR="000650FB" w:rsidRPr="000650FB" w:rsidRDefault="000650FB" w:rsidP="000650FB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30"/>
          <w:szCs w:val="30"/>
          <w:lang w:eastAsia="ru-RU"/>
        </w:rPr>
      </w:pPr>
      <w:r w:rsidRPr="000650FB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7 полоса </w:t>
      </w:r>
      <w:r w:rsidRPr="000650FB">
        <w:rPr>
          <w:rFonts w:ascii="PFDinDisplayPro-Regular" w:eastAsia="Times New Roman" w:hAnsi="PFDinDisplayPro-Regular" w:cs="Times New Roman"/>
          <w:i/>
          <w:iCs/>
          <w:color w:val="B01D21"/>
          <w:sz w:val="30"/>
          <w:szCs w:val="30"/>
          <w:bdr w:val="none" w:sz="0" w:space="0" w:color="auto" w:frame="1"/>
          <w:lang w:eastAsia="ru-RU"/>
        </w:rPr>
        <w:t>|</w:t>
      </w:r>
      <w:r w:rsidRPr="000650FB">
        <w:rPr>
          <w:rFonts w:ascii="PFDinDisplayPro-Regular" w:eastAsia="Times New Roman" w:hAnsi="PFDinDisplayPro-Regular" w:cs="Times New Roman"/>
          <w:color w:val="333333"/>
          <w:sz w:val="30"/>
          <w:szCs w:val="30"/>
          <w:bdr w:val="none" w:sz="0" w:space="0" w:color="auto" w:frame="1"/>
          <w:lang w:eastAsia="ru-RU"/>
        </w:rPr>
        <w:t> Официально</w:t>
      </w:r>
    </w:p>
    <w:p w:rsidR="000650FB" w:rsidRPr="000650FB" w:rsidRDefault="000650FB" w:rsidP="000650FB">
      <w:pPr>
        <w:shd w:val="clear" w:color="auto" w:fill="FFFFFF"/>
        <w:spacing w:after="0" w:line="240" w:lineRule="auto"/>
        <w:rPr>
          <w:rFonts w:ascii="PFDinDisplayPro-Regular" w:eastAsia="Times New Roman" w:hAnsi="PFDinDisplayPro-Regular" w:cs="Times New Roman"/>
          <w:color w:val="333333"/>
          <w:sz w:val="20"/>
          <w:szCs w:val="20"/>
          <w:lang w:eastAsia="ru-RU"/>
        </w:rPr>
      </w:pPr>
    </w:p>
    <w:p w:rsidR="000650FB" w:rsidRPr="000650FB" w:rsidRDefault="000650FB" w:rsidP="000650FB">
      <w:pPr>
        <w:shd w:val="clear" w:color="auto" w:fill="FFFFFF"/>
        <w:spacing w:before="180" w:after="90" w:line="594" w:lineRule="atLeast"/>
        <w:outlineLvl w:val="0"/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</w:pPr>
      <w:r w:rsidRPr="000650FB">
        <w:rPr>
          <w:rFonts w:ascii="inherit" w:eastAsia="Times New Roman" w:hAnsi="inherit" w:cs="Times New Roman"/>
          <w:color w:val="333333"/>
          <w:kern w:val="36"/>
          <w:sz w:val="54"/>
          <w:szCs w:val="54"/>
          <w:lang w:eastAsia="ru-RU"/>
        </w:rPr>
        <w:t>Решение заседания правления ОАО «РЖД» об изменении уровня тарифов на перевозки железнодорожным транспортом ряда грузов в рамках ценовых пределов</w:t>
      </w:r>
    </w:p>
    <w:p w:rsidR="000650FB" w:rsidRPr="000650FB" w:rsidRDefault="000650FB" w:rsidP="000650FB">
      <w:pPr>
        <w:shd w:val="clear" w:color="auto" w:fill="FFFFFF"/>
        <w:spacing w:before="300" w:after="90" w:line="297" w:lineRule="atLeast"/>
        <w:outlineLvl w:val="1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0650FB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Окончание. Начало см. на 2-й полосе</w:t>
      </w:r>
    </w:p>
    <w:p w:rsidR="000650FB" w:rsidRPr="000650FB" w:rsidRDefault="000650FB" w:rsidP="000650FB">
      <w:pPr>
        <w:shd w:val="clear" w:color="auto" w:fill="FFFFFF"/>
        <w:spacing w:after="90" w:line="273" w:lineRule="atLeast"/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</w:pPr>
      <w:r w:rsidRPr="000650FB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Приложение № 1 к протоколу заседания правления ОАО «РЖД» от 6 ноября 2018 г. № 51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4619625" cy="12077700"/>
            <wp:effectExtent l="0" t="0" r="9525" b="0"/>
            <wp:docPr id="3" name="Рисунок 3" descr="http://www.gudok.ru.images.1c-bitrix-cdn.ru/upload/imgs/201811/20181109__7_1.jpg?154170999397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udok.ru.images.1c-bitrix-cdn.ru/upload/imgs/201811/20181109__7_1.jpg?15417099939747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1207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Приложение № 2 к протоколу заседания правления ОАО «РЖД» от 6 ноября 2018 г. № 51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t> 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  <w:t> </w:t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 w:rsidRPr="000650FB">
        <w:rPr>
          <w:rFonts w:ascii="PFDinDisplayPro-Regular" w:eastAsia="Times New Roman" w:hAnsi="PFDinDisplayPro-Regular" w:cs="Times New Roman"/>
          <w:color w:val="333333"/>
          <w:sz w:val="21"/>
          <w:szCs w:val="21"/>
          <w:lang w:eastAsia="ru-RU"/>
        </w:rPr>
        <w:br/>
      </w:r>
      <w:r>
        <w:rPr>
          <w:rFonts w:ascii="PFDinDisplayPro-Regular" w:eastAsia="Times New Roman" w:hAnsi="PFDinDisplayPro-Regular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3202940" cy="201174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181109__7_1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2011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36D" w:rsidRDefault="000650FB">
      <w:r>
        <w:rPr>
          <w:noProof/>
          <w:lang w:eastAsia="ru-RU"/>
        </w:rPr>
        <w:drawing>
          <wp:inline distT="0" distB="0" distL="0" distR="0">
            <wp:extent cx="2588400" cy="16246800"/>
            <wp:effectExtent l="0" t="0" r="254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181109__7_1b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400" cy="162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DinDisplayPro-Regular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FB"/>
    <w:rsid w:val="000650FB"/>
    <w:rsid w:val="0021236D"/>
    <w:rsid w:val="00882C55"/>
    <w:rsid w:val="00A441B5"/>
    <w:rsid w:val="00E5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E682F-7B19-4108-B72B-535FABA6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50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50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50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50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650F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650F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650F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r-only">
    <w:name w:val="sr-only"/>
    <w:basedOn w:val="a0"/>
    <w:rsid w:val="000650FB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650F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650FB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ime">
    <w:name w:val="time"/>
    <w:basedOn w:val="a0"/>
    <w:rsid w:val="000650FB"/>
  </w:style>
  <w:style w:type="character" w:styleId="a4">
    <w:name w:val="Emphasis"/>
    <w:basedOn w:val="a0"/>
    <w:uiPriority w:val="20"/>
    <w:qFormat/>
    <w:rsid w:val="000650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10851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97289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185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092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023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81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5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3218279">
                  <w:marLeft w:val="-225"/>
                  <w:marRight w:val="-225"/>
                  <w:marTop w:val="8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3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1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2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40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464282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5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dok.ru/newspaper/?archive=2018.11.0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hyperlink" Target="http://www.gudok.ru/newspaper/" TargetMode="Externa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4859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2</cp:revision>
  <dcterms:created xsi:type="dcterms:W3CDTF">2018-11-13T12:42:00Z</dcterms:created>
  <dcterms:modified xsi:type="dcterms:W3CDTF">2018-11-13T12:42:00Z</dcterms:modified>
</cp:coreProperties>
</file>